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BBBCBC"/>
        <w:spacing w:before="0" w:beforeAutospacing="0" w:after="240" w:afterAutospacing="0" w:line="1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606060"/>
          <w:spacing w:val="8"/>
          <w:sz w:val="38"/>
          <w:szCs w:val="38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8"/>
          <w:sz w:val="38"/>
          <w:szCs w:val="38"/>
          <w:shd w:val="clear" w:fill="BBBCBC"/>
        </w:rPr>
        <w:t xml:space="preserve">城堡系列塔式 </w:t>
      </w:r>
      <w:r>
        <w:rPr>
          <w:rFonts w:hint="eastAsia" w:ascii="宋体" w:hAnsi="宋体" w:eastAsia="宋体" w:cs="宋体"/>
          <w:i w:val="0"/>
          <w:iCs w:val="0"/>
          <w:caps w:val="0"/>
          <w:color w:val="606060"/>
          <w:spacing w:val="8"/>
          <w:sz w:val="38"/>
          <w:szCs w:val="38"/>
          <w:shd w:val="clear" w:fill="BBBCBC"/>
        </w:rPr>
        <w:t>C1-3K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264" w:lineRule="atLeast"/>
        <w:ind w:left="0" w:right="0"/>
        <w:jc w:val="left"/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6"/>
          <w:szCs w:val="16"/>
          <w:shd w:val="clear" w:fill="BBBCBC"/>
        </w:rPr>
        <w:t>城堡系列塔式 C1-3K是目前中国市场存量广，畅销的在线式C1-3kVA UPS。通过30年的经验积累，先进的数字化控制技术，在解决9种电力问题（市电断电、电压下陷、浪涌、欠压、过压、电子干扰、频率波动、瞬变、谐波失 真、其他）的基础上，进一步提高了产品的适应性和可靠性，为用户设备以及UPS 本身提供万无一失的保障。 C1-3kVA主要应用场景描述： *IT 及网络设备 小型服务器及工作站、交换机和监控设备 * 嵌入式及自动化控制系统 ATM柜员机、自动售票机、电力及铁路信号系统、SCADA监控系统 * 办公及商务设备 办公电脑、打印机、扫描仪、POS机等设备。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264" w:lineRule="atLeast"/>
        <w:ind w:left="0" w:right="0"/>
        <w:jc w:val="left"/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ABA9AA"/>
          <w:spacing w:val="0"/>
          <w:sz w:val="16"/>
          <w:szCs w:val="16"/>
          <w:shd w:val="clear" w:fill="BBBCBC"/>
        </w:rPr>
        <w:t>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264" w:lineRule="atLeast"/>
        <w:ind w:left="0" w:right="0"/>
        <w:jc w:val="left"/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6"/>
          <w:szCs w:val="16"/>
          <w:shd w:val="clear" w:fill="BBBCBC"/>
        </w:rPr>
        <w:t>应用场景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0" w:beforeAutospacing="0" w:after="0" w:afterAutospacing="0" w:line="264" w:lineRule="atLeast"/>
        <w:ind w:left="720" w:right="0" w:hanging="360"/>
        <w:jc w:val="left"/>
        <w:rPr>
          <w:color w:val="E80017"/>
          <w:sz w:val="24"/>
          <w:szCs w:val="24"/>
        </w:rPr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6"/>
          <w:szCs w:val="16"/>
          <w:shd w:val="clear" w:fill="BBBCBC"/>
        </w:rPr>
        <w:t>中小型服务器及工作站、交换机和监控设备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0" w:beforeAutospacing="0" w:after="0" w:afterAutospacing="0" w:line="264" w:lineRule="atLeast"/>
        <w:ind w:left="720" w:right="0" w:hanging="360"/>
        <w:jc w:val="left"/>
        <w:rPr>
          <w:color w:val="E80017"/>
          <w:sz w:val="24"/>
          <w:szCs w:val="24"/>
        </w:rPr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6"/>
          <w:szCs w:val="16"/>
          <w:shd w:val="clear" w:fill="BBBCBC"/>
        </w:rPr>
        <w:t>ATM柜员机、自动售票机、电力及铁路信号系统、SCADA 系统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0" w:beforeAutospacing="0" w:after="0" w:afterAutospacing="0" w:line="264" w:lineRule="atLeast"/>
        <w:ind w:left="720" w:right="0" w:hanging="360"/>
        <w:jc w:val="left"/>
        <w:rPr>
          <w:color w:val="E80017"/>
          <w:sz w:val="24"/>
          <w:szCs w:val="24"/>
        </w:rPr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6"/>
          <w:szCs w:val="16"/>
          <w:shd w:val="clear" w:fill="BBBCBC"/>
        </w:rPr>
        <w:t>办公电脑、打印机、扫描仪、POS 机等设备</w:t>
      </w:r>
    </w:p>
    <w:p>
      <w:pPr>
        <w:pStyle w:val="3"/>
        <w:keepNext w:val="0"/>
        <w:keepLines w:val="0"/>
        <w:widowControl/>
        <w:suppressLineNumbers w:val="0"/>
        <w:shd w:val="clear" w:fill="BBBCBC"/>
        <w:ind w:left="0" w:firstLine="0"/>
        <w:jc w:val="left"/>
        <w:rPr>
          <w:rFonts w:ascii="Arial" w:hAnsi="Arial" w:cs="Arial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Style w:val="6"/>
          <w:rFonts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存量广，安全可靠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市场上畅销，存量广的在线式UPS, 30多年经验积累，能适应中国电力环境。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超宽输入电压频率范围，适应苛刻的电力环境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成熟的数字化控制技术，强壮的功率半导体器件，三重软硬件保护，更加安全可靠</w:t>
      </w:r>
    </w:p>
    <w:p>
      <w:pPr>
        <w:pStyle w:val="3"/>
        <w:keepNext w:val="0"/>
        <w:keepLines w:val="0"/>
        <w:widowControl/>
        <w:suppressLineNumbers w:val="0"/>
        <w:shd w:val="clear" w:fill="BBBCBC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绿色功率设计，节能环保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输出功因最高可达0.9，提供更多能量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高效率电气设计，在线模式下效率高达90%，节省运行费用，减少更多排放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绿色环保，符合欧盟环保指令的各项要求</w:t>
      </w:r>
    </w:p>
    <w:p>
      <w:pPr>
        <w:pStyle w:val="3"/>
        <w:keepNext w:val="0"/>
        <w:keepLines w:val="0"/>
        <w:widowControl/>
        <w:suppressLineNumbers w:val="0"/>
        <w:shd w:val="clear" w:fill="BBBCBC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超宽的输入电压、频率范围</w:t>
      </w:r>
    </w:p>
    <w:p>
      <w:pPr>
        <w:pStyle w:val="3"/>
        <w:keepNext w:val="0"/>
        <w:keepLines w:val="0"/>
        <w:widowControl/>
        <w:suppressLineNumbers w:val="0"/>
        <w:shd w:val="clear" w:fill="BBBCBC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精良的制造工艺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先进的SMD表面贴装技术和CPU集成控制技术的应用，使TwinGuard(TG)系列UPS的性能更可靠。能对各类电力问题（断电、短路、过载、高低压、突波）做出精确、可靠地处理，为负载提供保护。</w:t>
      </w:r>
    </w:p>
    <w:p>
      <w:pPr>
        <w:pStyle w:val="3"/>
        <w:keepNext w:val="0"/>
        <w:keepLines w:val="0"/>
        <w:widowControl/>
        <w:suppressLineNumbers w:val="0"/>
        <w:shd w:val="clear" w:fill="BBBCBC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Style w:val="6"/>
          <w:rFonts w:hint="default" w:ascii="NotoSansSC-Regular" w:hAnsi="NotoSansSC-Regular" w:eastAsia="NotoSansSC-Regular" w:cs="NotoSansSC-Regular"/>
          <w:b/>
          <w:bCs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智能人性设计，灵活易扩展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电池易配置，可满足不同放电时间要求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智能实时电池监测，电池状态尽在掌握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/>
        <w:ind w:left="720" w:right="0" w:hanging="360"/>
        <w:jc w:val="left"/>
        <w:rPr>
          <w:color w:val="E80017"/>
        </w:rPr>
      </w:pPr>
      <w:r>
        <w:rPr>
          <w:rFonts w:hint="default" w:ascii="NotoSansSC-Regular" w:hAnsi="NotoSansSC-Regular" w:eastAsia="NotoSansSC-Regular" w:cs="NotoSansSC-Regular"/>
          <w:i w:val="0"/>
          <w:iCs w:val="0"/>
          <w:caps w:val="0"/>
          <w:color w:val="606060"/>
          <w:spacing w:val="0"/>
          <w:sz w:val="19"/>
          <w:szCs w:val="19"/>
          <w:shd w:val="clear" w:fill="BBBCBC"/>
        </w:rPr>
        <w:t>多种选配件，灵活适应不同需求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otoSans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5D2A1"/>
    <w:multiLevelType w:val="multilevel"/>
    <w:tmpl w:val="A455D2A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34E50ED"/>
    <w:multiLevelType w:val="multilevel"/>
    <w:tmpl w:val="534E50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59400F97"/>
    <w:multiLevelType w:val="multilevel"/>
    <w:tmpl w:val="59400F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61670610"/>
    <w:multiLevelType w:val="multilevel"/>
    <w:tmpl w:val="616706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7E97BBD7"/>
    <w:multiLevelType w:val="multilevel"/>
    <w:tmpl w:val="7E97BBD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TljZDJhNDJhM2RmNjFiNzliMDM0YTBhYzEyZWQifQ=="/>
  </w:docVars>
  <w:rsids>
    <w:rsidRoot w:val="1A6B6F89"/>
    <w:rsid w:val="1A6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2022-07-21T01:57:00Z</dcterms:created>
  <dc:creator>傅</dc:creator>
  <cp:lastModifiedBy>傅</cp:lastModifiedBy>
  <dcterms:modified xsi:type="dcterms:W3CDTF">2022-07-21T01:58:29Z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3F68A90F410B41F6847C1E1FFB955274</vt:lpwstr>
  </property>
</Properties>
</file>